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70AB1F77" w14:textId="65F16797" w:rsidR="00DE27CD" w:rsidRDefault="00DE27CD" w:rsidP="003460C8">
      <w:pPr>
        <w:rPr>
          <w:rFonts w:ascii="맑은 고딕" w:eastAsia="맑은 고딕" w:hAnsi="맑은 고딕"/>
          <w:b/>
          <w:bCs/>
          <w:spacing w:val="20"/>
          <w:sz w:val="25"/>
          <w:szCs w:val="25"/>
        </w:rPr>
      </w:pPr>
      <w:r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r w:rsidRPr="003460C8">
        <w:rPr>
          <w:rFonts w:hint="eastAsia"/>
          <w:sz w:val="25"/>
          <w:szCs w:val="25"/>
        </w:rPr>
        <w:t xml:space="preserve"> </w:t>
      </w:r>
      <w:r w:rsidR="003460C8" w:rsidRPr="003460C8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DC-T4238HRAT</w:t>
      </w:r>
      <w:r w:rsidR="003460C8"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3460C8"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TTA 인증 Full-HD AI IR </w:t>
      </w:r>
      <w:proofErr w:type="spellStart"/>
      <w:r w:rsidR="003460C8"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뷸렛</w:t>
      </w:r>
      <w:proofErr w:type="spellEnd"/>
      <w:r w:rsidR="003460C8"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카메라 (</w:t>
      </w:r>
      <w:proofErr w:type="spellStart"/>
      <w:r w:rsidR="003460C8"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라이트마스터</w:t>
      </w:r>
      <w:proofErr w:type="spellEnd"/>
      <w:r w:rsidR="003460C8" w:rsidRPr="003460C8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))</w:t>
      </w:r>
    </w:p>
    <w:p w14:paraId="5B1EA26F" w14:textId="77777777" w:rsidR="00DE770E" w:rsidRPr="003460C8" w:rsidRDefault="00DE770E" w:rsidP="003460C8">
      <w:pPr>
        <w:rPr>
          <w:rFonts w:ascii="맑은 고딕" w:eastAsia="맑은 고딕" w:hAnsi="맑은 고딕"/>
          <w:spacing w:val="-20"/>
          <w:sz w:val="25"/>
          <w:szCs w:val="25"/>
        </w:rPr>
      </w:pPr>
    </w:p>
    <w:p w14:paraId="34C3D374" w14:textId="38AAF41A" w:rsidR="009D163C" w:rsidRPr="009E5563" w:rsidRDefault="00DE27CD" w:rsidP="009E5563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3051D888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4EECA17D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66FC0835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 xml:space="preserve">2.40MP </w:t>
      </w:r>
      <w:proofErr w:type="spellStart"/>
      <w:r w:rsidRPr="00F0179D">
        <w:rPr>
          <w:rFonts w:ascii="맑은 고딕" w:eastAsia="맑은 고딕" w:hAnsi="맑은 고딕" w:hint="eastAsia"/>
          <w:spacing w:val="-20"/>
          <w:szCs w:val="20"/>
        </w:rPr>
        <w:t>초저조도</w:t>
      </w:r>
      <w:proofErr w:type="spellEnd"/>
      <w:r w:rsidRPr="00F0179D">
        <w:rPr>
          <w:rFonts w:ascii="맑은 고딕" w:eastAsia="맑은 고딕" w:hAnsi="맑은 고딕" w:hint="eastAsia"/>
          <w:spacing w:val="-20"/>
          <w:szCs w:val="20"/>
        </w:rPr>
        <w:t xml:space="preserve"> 특화 센서</w:t>
      </w:r>
    </w:p>
    <w:p w14:paraId="6DD3C440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전동 가변 초점 렌즈 (f=2.8-12mm)</w:t>
      </w:r>
    </w:p>
    <w:p w14:paraId="701CB3C6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18299BC2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0F491974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02621E8F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히터 내장</w:t>
      </w:r>
    </w:p>
    <w:p w14:paraId="093AF5E5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/>
          <w:spacing w:val="-20"/>
          <w:szCs w:val="20"/>
        </w:rPr>
        <w:t>PoE IEEE 802.3af (Class 3), 12VDC</w:t>
      </w:r>
    </w:p>
    <w:p w14:paraId="35F81089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F0179D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F0179D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089F270A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IR LED (야간 가시 거리 : 60m)</w:t>
      </w:r>
    </w:p>
    <w:p w14:paraId="5CA95591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67447896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48D2F553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 xml:space="preserve">AI 영상 분석 지원 (객체 감지, 객체 침입 감지, 객체 배회 감지, 객체 라인 </w:t>
      </w:r>
      <w:proofErr w:type="spellStart"/>
      <w:r w:rsidRPr="00F0179D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F0179D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601A3B08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69577F7D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5CC2D997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3A22675F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54E48878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5E543F14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104DA26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1231D5A0" w14:textId="77777777" w:rsidR="00F0179D" w:rsidRP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F0179D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F0179D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68D31709" w14:textId="6704A16F" w:rsidR="00F0179D" w:rsidRDefault="00F0179D" w:rsidP="00F0179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0179D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5B6F23BA" w14:textId="77777777" w:rsidR="00F0179D" w:rsidRPr="007E1734" w:rsidRDefault="00F0179D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396DCEC9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2.40MP 이면조사형 6.45mm(1/2.8 타입) CMOS</w:t>
      </w:r>
    </w:p>
    <w:p w14:paraId="0DDD9CDD" w14:textId="4EC21836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7E1734" w:rsidRPr="007E1734">
        <w:rPr>
          <w:rFonts w:ascii="맑은 고딕" w:eastAsia="맑은 고딕" w:hAnsi="맑은 고딕"/>
          <w:spacing w:val="-20"/>
          <w:szCs w:val="20"/>
        </w:rPr>
        <w:t>1920 x 1080</w:t>
      </w:r>
    </w:p>
    <w:p w14:paraId="26CD097B" w14:textId="231E237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="007E1734" w:rsidRPr="007E1734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7E1734" w:rsidRPr="007E1734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1734F47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55B34F2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f=2.8 - 12mm (4.3배)</w:t>
      </w:r>
    </w:p>
    <w:p w14:paraId="068F9436" w14:textId="539A02A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/>
          <w:spacing w:val="-20"/>
          <w:szCs w:val="20"/>
        </w:rPr>
        <w:t>F1.4 - 3.1</w:t>
      </w:r>
    </w:p>
    <w:p w14:paraId="42B5EB74" w14:textId="5E6DC79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3E4E8ADF" w14:textId="1A0F2F2A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22EFDCF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7E1734" w:rsidRPr="007E1734">
        <w:rPr>
          <w:rFonts w:ascii="맑은 고딕" w:eastAsia="맑은 고딕" w:hAnsi="맑은 고딕" w:hint="eastAsia"/>
          <w:spacing w:val="-20"/>
          <w:szCs w:val="20"/>
        </w:rPr>
        <w:t>60m (6개)</w:t>
      </w:r>
    </w:p>
    <w:p w14:paraId="0C40F993" w14:textId="0FB0F1F9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4EB5B22D" w14:textId="2CDC6FD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멀티 비디오 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7E1734" w:rsidRPr="007E1734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51FEDC90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050F6132" w14:textId="77777777" w:rsidR="00F0179D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 xml:space="preserve">(화면 가림/충격 감지), 알람 인, 이상 음원 감지, 객체 감지(사람, 차량), 객체 침입 감지, 객체 배회 감지, 객체 라인 </w:t>
      </w:r>
      <w:proofErr w:type="spellStart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2DAD9CC8" w14:textId="0F2062C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F0179D" w:rsidRPr="00F0179D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28E18BA2" w14:textId="7659EEC6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7E1734">
        <w:rPr>
          <w:rFonts w:ascii="맑은 고딕" w:eastAsia="맑은 고딕" w:hAnsi="맑은 고딕"/>
          <w:spacing w:val="-20"/>
          <w:szCs w:val="20"/>
        </w:rPr>
        <w:t>1 / 1</w:t>
      </w:r>
    </w:p>
    <w:p w14:paraId="59D6071E" w14:textId="4A9D11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입력 </w:t>
      </w:r>
      <w:r>
        <w:rPr>
          <w:rFonts w:ascii="맑은 고딕" w:eastAsia="맑은 고딕" w:hAnsi="맑은 고딕"/>
          <w:spacing w:val="-20"/>
          <w:szCs w:val="20"/>
        </w:rPr>
        <w:t xml:space="preserve">/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544E69">
        <w:rPr>
          <w:rFonts w:ascii="맑은 고딕" w:eastAsia="맑은 고딕" w:hAnsi="맑은 고딕"/>
          <w:spacing w:val="-20"/>
          <w:szCs w:val="20"/>
        </w:rPr>
        <w:t>1 / 1</w:t>
      </w:r>
    </w:p>
    <w:p w14:paraId="02210C26" w14:textId="5871463C" w:rsidR="00646A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36EA8820" w14:textId="07F34B4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2FCBBC34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</w:t>
      </w:r>
      <w:r w:rsidR="00E96F6B">
        <w:rPr>
          <w:rFonts w:ascii="맑은 고딕" w:eastAsia="맑은 고딕" w:hAnsi="맑은 고딕" w:hint="eastAsia"/>
          <w:spacing w:val="-20"/>
          <w:szCs w:val="20"/>
        </w:rPr>
        <w:t>W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 xml:space="preserve"> x H)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/>
          <w:spacing w:val="-20"/>
          <w:szCs w:val="20"/>
        </w:rPr>
        <w:t>89.3mm X 89.3mm X 277.6mm</w:t>
      </w:r>
    </w:p>
    <w:p w14:paraId="7D9AE909" w14:textId="6D6457BC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0179D" w:rsidRPr="00F0179D">
        <w:rPr>
          <w:rFonts w:ascii="맑은 고딕" w:eastAsia="맑은 고딕" w:hAnsi="맑은 고딕"/>
          <w:spacing w:val="-20"/>
          <w:szCs w:val="20"/>
        </w:rPr>
        <w:t>1.293kg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E96F6B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14301"/>
    <w:rsid w:val="00130DAA"/>
    <w:rsid w:val="00151F47"/>
    <w:rsid w:val="001638B7"/>
    <w:rsid w:val="001B0910"/>
    <w:rsid w:val="001B70AE"/>
    <w:rsid w:val="0023597F"/>
    <w:rsid w:val="00252EE8"/>
    <w:rsid w:val="00291CD3"/>
    <w:rsid w:val="002B0856"/>
    <w:rsid w:val="00316A75"/>
    <w:rsid w:val="003401C0"/>
    <w:rsid w:val="003460C8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6137DA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7568"/>
    <w:rsid w:val="007234E0"/>
    <w:rsid w:val="00747624"/>
    <w:rsid w:val="007A4248"/>
    <w:rsid w:val="007D4550"/>
    <w:rsid w:val="007E1734"/>
    <w:rsid w:val="008448DA"/>
    <w:rsid w:val="00847B09"/>
    <w:rsid w:val="00853729"/>
    <w:rsid w:val="00867E37"/>
    <w:rsid w:val="00870BD0"/>
    <w:rsid w:val="00880DAA"/>
    <w:rsid w:val="008946F9"/>
    <w:rsid w:val="00904100"/>
    <w:rsid w:val="00930C62"/>
    <w:rsid w:val="00990262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04FFE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C5EB2"/>
    <w:rsid w:val="00CD1D3C"/>
    <w:rsid w:val="00CD50B9"/>
    <w:rsid w:val="00CF7394"/>
    <w:rsid w:val="00D5003E"/>
    <w:rsid w:val="00D502DA"/>
    <w:rsid w:val="00D83792"/>
    <w:rsid w:val="00DB1475"/>
    <w:rsid w:val="00DE27CD"/>
    <w:rsid w:val="00DE770E"/>
    <w:rsid w:val="00E01787"/>
    <w:rsid w:val="00E21649"/>
    <w:rsid w:val="00E40E01"/>
    <w:rsid w:val="00E64FE5"/>
    <w:rsid w:val="00E7263C"/>
    <w:rsid w:val="00E735F2"/>
    <w:rsid w:val="00E811DC"/>
    <w:rsid w:val="00E85618"/>
    <w:rsid w:val="00E96F6B"/>
    <w:rsid w:val="00EC42D1"/>
    <w:rsid w:val="00EF3C78"/>
    <w:rsid w:val="00F0179D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65</cp:revision>
  <dcterms:created xsi:type="dcterms:W3CDTF">2022-05-20T06:29:00Z</dcterms:created>
  <dcterms:modified xsi:type="dcterms:W3CDTF">2024-08-08T06:19:00Z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